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11817" w14:textId="77777777" w:rsidR="00A42481" w:rsidRDefault="00A42481" w:rsidP="00A42481">
      <w:pPr>
        <w:spacing w:before="100" w:beforeAutospacing="1" w:after="100" w:afterAutospacing="1" w:line="240" w:lineRule="auto"/>
        <w:outlineLvl w:val="0"/>
        <w:rPr>
          <w:rFonts w:ascii="Times New Roman" w:eastAsia="Times New Roman" w:hAnsi="Times New Roman" w:cs="Times New Roman"/>
          <w:b/>
          <w:bCs/>
          <w:kern w:val="36"/>
          <w:sz w:val="28"/>
          <w:szCs w:val="28"/>
        </w:rPr>
      </w:pPr>
      <w:r w:rsidRPr="00712435">
        <w:rPr>
          <w:rFonts w:ascii="Times New Roman" w:eastAsia="Times New Roman" w:hAnsi="Times New Roman" w:cs="Times New Roman"/>
          <w:b/>
          <w:bCs/>
          <w:kern w:val="36"/>
          <w:sz w:val="28"/>
          <w:szCs w:val="28"/>
        </w:rPr>
        <w:t>AI-Driven Digital Governance for Inclusive and Sustainable Growth in India</w:t>
      </w:r>
    </w:p>
    <w:p w14:paraId="037AB55A" w14:textId="2442B2A6" w:rsidR="00712435" w:rsidRPr="00712435" w:rsidRDefault="00712435" w:rsidP="00712435">
      <w:pPr>
        <w:spacing w:before="100" w:beforeAutospacing="1" w:after="100" w:afterAutospacing="1" w:line="240" w:lineRule="auto"/>
        <w:jc w:val="center"/>
        <w:outlineLvl w:val="0"/>
        <w:rPr>
          <w:rFonts w:ascii="Times New Roman" w:eastAsia="Times New Roman" w:hAnsi="Times New Roman" w:cs="Times New Roman"/>
          <w:b/>
          <w:bCs/>
          <w:kern w:val="36"/>
          <w:sz w:val="24"/>
          <w:szCs w:val="24"/>
        </w:rPr>
      </w:pPr>
      <w:r w:rsidRPr="00712435">
        <w:rPr>
          <w:rFonts w:ascii="Times New Roman" w:eastAsia="Times New Roman" w:hAnsi="Times New Roman" w:cs="Times New Roman"/>
          <w:b/>
          <w:bCs/>
          <w:kern w:val="36"/>
          <w:sz w:val="24"/>
          <w:szCs w:val="24"/>
        </w:rPr>
        <w:t>Gauri Mittal</w:t>
      </w:r>
    </w:p>
    <w:p w14:paraId="72D62037" w14:textId="77777777" w:rsidR="00A42481" w:rsidRPr="000F206F" w:rsidRDefault="00A42481" w:rsidP="000F206F">
      <w:pPr>
        <w:spacing w:before="100" w:beforeAutospacing="1" w:after="100" w:afterAutospacing="1" w:line="240" w:lineRule="auto"/>
        <w:jc w:val="center"/>
        <w:outlineLvl w:val="1"/>
        <w:rPr>
          <w:rFonts w:ascii="Times New Roman" w:eastAsia="Times New Roman" w:hAnsi="Times New Roman" w:cs="Times New Roman"/>
          <w:b/>
          <w:bCs/>
          <w:sz w:val="24"/>
          <w:szCs w:val="24"/>
        </w:rPr>
      </w:pPr>
      <w:r w:rsidRPr="000F206F">
        <w:rPr>
          <w:rFonts w:ascii="Times New Roman" w:eastAsia="Times New Roman" w:hAnsi="Times New Roman" w:cs="Times New Roman"/>
          <w:b/>
          <w:bCs/>
          <w:sz w:val="24"/>
          <w:szCs w:val="24"/>
        </w:rPr>
        <w:t>Abstract</w:t>
      </w:r>
    </w:p>
    <w:p w14:paraId="1B9ED378" w14:textId="77777777" w:rsidR="00A42481" w:rsidRPr="000F206F" w:rsidRDefault="00A42481" w:rsidP="00A42481">
      <w:pPr>
        <w:spacing w:before="100" w:beforeAutospacing="1" w:after="100" w:afterAutospacing="1" w:line="240" w:lineRule="auto"/>
        <w:rPr>
          <w:rFonts w:ascii="Times New Roman" w:eastAsia="Times New Roman" w:hAnsi="Times New Roman" w:cs="Times New Roman"/>
          <w:i/>
          <w:iCs/>
          <w:sz w:val="20"/>
          <w:szCs w:val="20"/>
        </w:rPr>
      </w:pPr>
      <w:r w:rsidRPr="000F206F">
        <w:rPr>
          <w:rFonts w:ascii="Times New Roman" w:eastAsia="Times New Roman" w:hAnsi="Times New Roman" w:cs="Times New Roman"/>
          <w:i/>
          <w:iCs/>
          <w:sz w:val="20"/>
          <w:szCs w:val="20"/>
        </w:rPr>
        <w:t>India’s journey toward becoming a digitally empowered society has accelerated rapidly over the past decade. With initiatives such as Digital India, Aadhaar, UPI, and emerging smart governance platforms, the role of Artificial Intelligence (AI) and Data Science has become central to transforming public service delivery, policy formulation, and citizen engagement. This research paper examines how AI-driven digital governance can enable inclusive and sustainable growth in India while addressing challenges related to privacy, ethics, digital divide, and institutional readiness. The paper adopts a conceptual and analytical approach, drawing upon secondary data, policy documents, and contemporary case examples from the Indian governance ecosystem. It argues that while AI has the potential to enhance efficiency, transparency, and accountability, its success depends on responsible implementation, robust regulatory frameworks, and human-centric design. The study contributes to ongoing discourse on digital governance by proposing a strategic framework for ethical, inclusive, and future-ready AI adoption aligned with India’s socio-economic realities and the vision of Viksit Bharat 2047.</w:t>
      </w:r>
    </w:p>
    <w:p w14:paraId="3723753E" w14:textId="462F7889" w:rsidR="00A42481" w:rsidRPr="00712435" w:rsidRDefault="00A42481" w:rsidP="00A42481">
      <w:pPr>
        <w:spacing w:after="0" w:line="240" w:lineRule="auto"/>
        <w:rPr>
          <w:rFonts w:ascii="Times New Roman" w:eastAsia="Times New Roman" w:hAnsi="Times New Roman" w:cs="Times New Roman"/>
          <w:sz w:val="20"/>
          <w:szCs w:val="20"/>
        </w:rPr>
      </w:pPr>
    </w:p>
    <w:p w14:paraId="7A6DD4AF" w14:textId="77777777" w:rsidR="00712435" w:rsidRDefault="00712435" w:rsidP="005B2410">
      <w:pPr>
        <w:spacing w:before="100" w:beforeAutospacing="1" w:after="100" w:afterAutospacing="1" w:line="240" w:lineRule="auto"/>
        <w:jc w:val="both"/>
        <w:outlineLvl w:val="1"/>
        <w:rPr>
          <w:rFonts w:ascii="Times New Roman" w:eastAsia="Times New Roman" w:hAnsi="Times New Roman" w:cs="Times New Roman"/>
          <w:b/>
          <w:bCs/>
          <w:sz w:val="20"/>
          <w:szCs w:val="20"/>
        </w:rPr>
        <w:sectPr w:rsidR="00712435">
          <w:footerReference w:type="default" r:id="rId7"/>
          <w:pgSz w:w="12240" w:h="15840"/>
          <w:pgMar w:top="1440" w:right="1440" w:bottom="1440" w:left="1440" w:header="720" w:footer="720" w:gutter="0"/>
          <w:cols w:space="720"/>
          <w:docGrid w:linePitch="360"/>
        </w:sectPr>
      </w:pPr>
    </w:p>
    <w:p w14:paraId="66558C69" w14:textId="77777777" w:rsidR="00A42481" w:rsidRPr="00712435" w:rsidRDefault="00A42481" w:rsidP="005B2410">
      <w:pPr>
        <w:spacing w:before="100" w:beforeAutospacing="1" w:after="100" w:afterAutospacing="1" w:line="240" w:lineRule="auto"/>
        <w:jc w:val="both"/>
        <w:outlineLvl w:val="1"/>
        <w:rPr>
          <w:rFonts w:ascii="Times New Roman" w:eastAsia="Times New Roman" w:hAnsi="Times New Roman" w:cs="Times New Roman"/>
          <w:b/>
          <w:bCs/>
          <w:sz w:val="20"/>
          <w:szCs w:val="20"/>
        </w:rPr>
      </w:pPr>
      <w:r w:rsidRPr="00712435">
        <w:rPr>
          <w:rFonts w:ascii="Times New Roman" w:eastAsia="Times New Roman" w:hAnsi="Times New Roman" w:cs="Times New Roman"/>
          <w:b/>
          <w:bCs/>
          <w:sz w:val="20"/>
          <w:szCs w:val="20"/>
        </w:rPr>
        <w:t>1. Introduction</w:t>
      </w:r>
    </w:p>
    <w:p w14:paraId="7AF87D85" w14:textId="77777777" w:rsidR="00A42481" w:rsidRPr="00712435" w:rsidRDefault="00A42481" w:rsidP="005B2410">
      <w:p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t>Governance in the twenty-first century is increasingly shaped by the convergence of digital technologies, data-driven decision-making, and citizen-centric service models. Governments across the globe are leveraging Artificial Intelligence (AI), Big Data, and advanced analytics to enhance administrative efficiency, improve service delivery, and strengthen democratic institutions. In a country as large and diverse as India, digital governance is not merely a technological upgrade but a transformative necessity to address scale, complexity, and inclusion.</w:t>
      </w:r>
    </w:p>
    <w:p w14:paraId="29F44E4E" w14:textId="77777777" w:rsidR="00A42481" w:rsidRPr="00712435" w:rsidRDefault="00A42481" w:rsidP="005B2410">
      <w:p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t>India’s governance system serves over 1.4 billion citizens with diverse socio-economic backgrounds, languages, and regional contexts. Traditional administrative mechanisms often struggle with inefficiencies, delays, information asymmetry, and limited transparency. The introduction of AI and data science into governance offers an opportunity to overcome these limitations by enabling predictive policy-making, real-time monitoring, automated service delivery, and personalized citizen engagement.</w:t>
      </w:r>
    </w:p>
    <w:p w14:paraId="1C6CCAE6" w14:textId="77777777" w:rsidR="00A42481" w:rsidRPr="00712435" w:rsidRDefault="00A42481" w:rsidP="005B2410">
      <w:p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t>Digital governance in India has evolved significantly with initiatives such as Aadhaar for digital identity, Direct Benefit Transfer (DBT) for welfare delivery, and Unified Payments Interface (UPI) for financial inclusion. These platforms generate vast amounts of data, creating fertile ground for AI-driven insights. However, the deployment of AI in governance also raises critical concerns regarding data privacy, algorithmic bias, accountability, and the risk of exclusion for digitally marginalized populations.</w:t>
      </w:r>
    </w:p>
    <w:p w14:paraId="14B094C0" w14:textId="77777777" w:rsidR="00A42481" w:rsidRPr="00712435" w:rsidRDefault="00A42481" w:rsidP="005B2410">
      <w:p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t>This paper explores the role of AI-driven digital governance in India, focusing on its potential to promote inclusive and sustainable growth. It examines key applications, benefits, challenges, and ethical considerations, and proposes a framework for responsible AI adoption in the public sector.</w:t>
      </w:r>
    </w:p>
    <w:p w14:paraId="55475042" w14:textId="0897E4C1" w:rsidR="00A42481" w:rsidRPr="00712435" w:rsidRDefault="00A42481" w:rsidP="005B2410">
      <w:pPr>
        <w:spacing w:after="0" w:line="240" w:lineRule="auto"/>
        <w:jc w:val="both"/>
        <w:rPr>
          <w:rFonts w:ascii="Times New Roman" w:eastAsia="Times New Roman" w:hAnsi="Times New Roman" w:cs="Times New Roman"/>
          <w:sz w:val="20"/>
          <w:szCs w:val="20"/>
        </w:rPr>
      </w:pPr>
    </w:p>
    <w:p w14:paraId="2BDECAE5" w14:textId="77777777" w:rsidR="00A42481" w:rsidRPr="00712435" w:rsidRDefault="00A42481" w:rsidP="005B2410">
      <w:pPr>
        <w:spacing w:before="100" w:beforeAutospacing="1" w:after="100" w:afterAutospacing="1" w:line="240" w:lineRule="auto"/>
        <w:jc w:val="both"/>
        <w:outlineLvl w:val="1"/>
        <w:rPr>
          <w:rFonts w:ascii="Times New Roman" w:eastAsia="Times New Roman" w:hAnsi="Times New Roman" w:cs="Times New Roman"/>
          <w:b/>
          <w:bCs/>
          <w:sz w:val="20"/>
          <w:szCs w:val="20"/>
        </w:rPr>
      </w:pPr>
      <w:r w:rsidRPr="00712435">
        <w:rPr>
          <w:rFonts w:ascii="Times New Roman" w:eastAsia="Times New Roman" w:hAnsi="Times New Roman" w:cs="Times New Roman"/>
          <w:b/>
          <w:bCs/>
          <w:sz w:val="20"/>
          <w:szCs w:val="20"/>
        </w:rPr>
        <w:t>2. Conceptual Framework: AI and Digital Governance</w:t>
      </w:r>
    </w:p>
    <w:p w14:paraId="1D1A81A5" w14:textId="77777777" w:rsidR="00A42481" w:rsidRPr="00712435" w:rsidRDefault="00A42481" w:rsidP="005B2410">
      <w:pPr>
        <w:spacing w:before="100" w:beforeAutospacing="1" w:after="100" w:afterAutospacing="1" w:line="240" w:lineRule="auto"/>
        <w:jc w:val="both"/>
        <w:outlineLvl w:val="2"/>
        <w:rPr>
          <w:rFonts w:ascii="Times New Roman" w:eastAsia="Times New Roman" w:hAnsi="Times New Roman" w:cs="Times New Roman"/>
          <w:b/>
          <w:bCs/>
          <w:sz w:val="20"/>
          <w:szCs w:val="20"/>
        </w:rPr>
      </w:pPr>
      <w:r w:rsidRPr="00712435">
        <w:rPr>
          <w:rFonts w:ascii="Times New Roman" w:eastAsia="Times New Roman" w:hAnsi="Times New Roman" w:cs="Times New Roman"/>
          <w:b/>
          <w:bCs/>
          <w:sz w:val="20"/>
          <w:szCs w:val="20"/>
        </w:rPr>
        <w:t>2.1 Understanding Digital Governance</w:t>
      </w:r>
    </w:p>
    <w:p w14:paraId="1CEC513D" w14:textId="77777777" w:rsidR="00A42481" w:rsidRPr="00712435" w:rsidRDefault="00A42481" w:rsidP="005B2410">
      <w:p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t>Digital governance refers to the use of digital technologies to design, deliver, and evaluate public policies and services. It encompasses e-governance, data-driven decision-making, digital public infrastructure, and participatory platforms that enable citizen engagement. The objective of digital governance is not only efficiency but also transparency, accountability, and inclusiveness.</w:t>
      </w:r>
    </w:p>
    <w:p w14:paraId="30F550C7" w14:textId="77777777" w:rsidR="00A42481" w:rsidRPr="00712435" w:rsidRDefault="00A42481" w:rsidP="005B2410">
      <w:p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t>In the Indian context, digital governance is closely linked to development goals such as financial inclusion, social welfare delivery, rural empowerment, and ease of doing business. Digital platforms serve as intermediaries between the state and citizens, reducing bureaucratic friction and enhancing trust.</w:t>
      </w:r>
    </w:p>
    <w:p w14:paraId="4E289DEF" w14:textId="77777777" w:rsidR="00A42481" w:rsidRPr="00712435" w:rsidRDefault="00A42481" w:rsidP="005B2410">
      <w:pPr>
        <w:spacing w:before="100" w:beforeAutospacing="1" w:after="100" w:afterAutospacing="1" w:line="240" w:lineRule="auto"/>
        <w:jc w:val="both"/>
        <w:outlineLvl w:val="2"/>
        <w:rPr>
          <w:rFonts w:ascii="Times New Roman" w:eastAsia="Times New Roman" w:hAnsi="Times New Roman" w:cs="Times New Roman"/>
          <w:b/>
          <w:bCs/>
          <w:sz w:val="20"/>
          <w:szCs w:val="20"/>
        </w:rPr>
      </w:pPr>
      <w:r w:rsidRPr="00712435">
        <w:rPr>
          <w:rFonts w:ascii="Times New Roman" w:eastAsia="Times New Roman" w:hAnsi="Times New Roman" w:cs="Times New Roman"/>
          <w:b/>
          <w:bCs/>
          <w:sz w:val="20"/>
          <w:szCs w:val="20"/>
        </w:rPr>
        <w:t>2.2 Role of Artificial Intelligence in Governance</w:t>
      </w:r>
    </w:p>
    <w:p w14:paraId="073FCA25" w14:textId="77777777" w:rsidR="00A42481" w:rsidRPr="00712435" w:rsidRDefault="00A42481" w:rsidP="005B2410">
      <w:p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t xml:space="preserve">Artificial Intelligence refers to computational systems capable of performing tasks that typically require </w:t>
      </w:r>
      <w:r w:rsidRPr="00712435">
        <w:rPr>
          <w:rFonts w:ascii="Times New Roman" w:eastAsia="Times New Roman" w:hAnsi="Times New Roman" w:cs="Times New Roman"/>
          <w:sz w:val="20"/>
          <w:szCs w:val="20"/>
        </w:rPr>
        <w:lastRenderedPageBreak/>
        <w:t>human intelligence, such as learning, reasoning, pattern recognition, and decision-making. In governance, AI applications include:</w:t>
      </w:r>
    </w:p>
    <w:p w14:paraId="353AABA2" w14:textId="77777777" w:rsidR="00A42481" w:rsidRPr="00712435" w:rsidRDefault="00A42481" w:rsidP="005B2410">
      <w:pPr>
        <w:numPr>
          <w:ilvl w:val="0"/>
          <w:numId w:val="1"/>
        </w:num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t>Predictive analytics for policy planning</w:t>
      </w:r>
    </w:p>
    <w:p w14:paraId="26D7368D" w14:textId="77777777" w:rsidR="00A42481" w:rsidRPr="00712435" w:rsidRDefault="00A42481" w:rsidP="005B2410">
      <w:pPr>
        <w:numPr>
          <w:ilvl w:val="0"/>
          <w:numId w:val="1"/>
        </w:num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t>Chatbots for citizen services</w:t>
      </w:r>
    </w:p>
    <w:p w14:paraId="29548AC1" w14:textId="77777777" w:rsidR="00A42481" w:rsidRPr="00712435" w:rsidRDefault="00A42481" w:rsidP="005B2410">
      <w:pPr>
        <w:numPr>
          <w:ilvl w:val="0"/>
          <w:numId w:val="1"/>
        </w:num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t>Facial recognition and biometric systems for identity verification</w:t>
      </w:r>
    </w:p>
    <w:p w14:paraId="2B5BC530" w14:textId="77777777" w:rsidR="00A42481" w:rsidRPr="00712435" w:rsidRDefault="00A42481" w:rsidP="005B2410">
      <w:pPr>
        <w:numPr>
          <w:ilvl w:val="0"/>
          <w:numId w:val="1"/>
        </w:num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t>Natural language processing for grievance redressal</w:t>
      </w:r>
    </w:p>
    <w:p w14:paraId="7AA88951" w14:textId="77777777" w:rsidR="00A42481" w:rsidRPr="00712435" w:rsidRDefault="00A42481" w:rsidP="005B2410">
      <w:pPr>
        <w:numPr>
          <w:ilvl w:val="0"/>
          <w:numId w:val="1"/>
        </w:num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t>Machine learning models for fraud detection</w:t>
      </w:r>
    </w:p>
    <w:p w14:paraId="2EA8E230" w14:textId="77777777" w:rsidR="00A42481" w:rsidRPr="00712435" w:rsidRDefault="00A42481" w:rsidP="005B2410">
      <w:p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t>AI transforms governance from reactive administration to proactive and anticipatory governance. By analyzing large datasets, AI systems can identify trends, forecast outcomes, and support evidence-based decision-making.</w:t>
      </w:r>
    </w:p>
    <w:p w14:paraId="1FFA055C" w14:textId="77777777" w:rsidR="00A42481" w:rsidRPr="00712435" w:rsidRDefault="00A42481" w:rsidP="005B2410">
      <w:pPr>
        <w:spacing w:before="100" w:beforeAutospacing="1" w:after="100" w:afterAutospacing="1" w:line="240" w:lineRule="auto"/>
        <w:jc w:val="both"/>
        <w:outlineLvl w:val="2"/>
        <w:rPr>
          <w:rFonts w:ascii="Times New Roman" w:eastAsia="Times New Roman" w:hAnsi="Times New Roman" w:cs="Times New Roman"/>
          <w:b/>
          <w:bCs/>
          <w:sz w:val="20"/>
          <w:szCs w:val="20"/>
        </w:rPr>
      </w:pPr>
      <w:r w:rsidRPr="00712435">
        <w:rPr>
          <w:rFonts w:ascii="Times New Roman" w:eastAsia="Times New Roman" w:hAnsi="Times New Roman" w:cs="Times New Roman"/>
          <w:b/>
          <w:bCs/>
          <w:sz w:val="20"/>
          <w:szCs w:val="20"/>
        </w:rPr>
        <w:t>2.3 Data Science as the Backbone</w:t>
      </w:r>
    </w:p>
    <w:p w14:paraId="55AC5D8E" w14:textId="77777777" w:rsidR="00A42481" w:rsidRPr="00712435" w:rsidRDefault="00A42481" w:rsidP="005B2410">
      <w:p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t>Data science provides the methodological foundation for AI-driven governance. It involves data collection, cleaning, analysis, visualization, and interpretation. Government databases, sensor data, transaction records, and citizen feedback form the raw material for data-driven governance.</w:t>
      </w:r>
    </w:p>
    <w:p w14:paraId="508E0732" w14:textId="77777777" w:rsidR="00A42481" w:rsidRPr="00712435" w:rsidRDefault="00A42481" w:rsidP="005B2410">
      <w:p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t>In India, the expansion of digital public infrastructure has significantly increased the availability of administrative data. When harnessed responsibly, this data can improve policy targeting, reduce leakages, and enhance program effectiveness.</w:t>
      </w:r>
    </w:p>
    <w:p w14:paraId="73B6F79B" w14:textId="09F1495B" w:rsidR="00A42481" w:rsidRPr="00712435" w:rsidRDefault="00A42481" w:rsidP="005B2410">
      <w:pPr>
        <w:spacing w:after="0" w:line="240" w:lineRule="auto"/>
        <w:jc w:val="both"/>
        <w:rPr>
          <w:rFonts w:ascii="Times New Roman" w:eastAsia="Times New Roman" w:hAnsi="Times New Roman" w:cs="Times New Roman"/>
          <w:sz w:val="20"/>
          <w:szCs w:val="20"/>
        </w:rPr>
      </w:pPr>
    </w:p>
    <w:p w14:paraId="4D45EB78" w14:textId="77777777" w:rsidR="00A42481" w:rsidRPr="00712435" w:rsidRDefault="00A42481" w:rsidP="005B2410">
      <w:pPr>
        <w:spacing w:before="100" w:beforeAutospacing="1" w:after="100" w:afterAutospacing="1" w:line="240" w:lineRule="auto"/>
        <w:jc w:val="both"/>
        <w:outlineLvl w:val="1"/>
        <w:rPr>
          <w:rFonts w:ascii="Times New Roman" w:eastAsia="Times New Roman" w:hAnsi="Times New Roman" w:cs="Times New Roman"/>
          <w:b/>
          <w:bCs/>
          <w:sz w:val="20"/>
          <w:szCs w:val="20"/>
        </w:rPr>
      </w:pPr>
      <w:r w:rsidRPr="00712435">
        <w:rPr>
          <w:rFonts w:ascii="Times New Roman" w:eastAsia="Times New Roman" w:hAnsi="Times New Roman" w:cs="Times New Roman"/>
          <w:b/>
          <w:bCs/>
          <w:sz w:val="20"/>
          <w:szCs w:val="20"/>
        </w:rPr>
        <w:t>3. Applications of AI-Driven Digital Governance in India</w:t>
      </w:r>
    </w:p>
    <w:p w14:paraId="0E6745AB" w14:textId="77777777" w:rsidR="00A42481" w:rsidRPr="00712435" w:rsidRDefault="00A42481" w:rsidP="005B2410">
      <w:pPr>
        <w:spacing w:before="100" w:beforeAutospacing="1" w:after="100" w:afterAutospacing="1" w:line="240" w:lineRule="auto"/>
        <w:jc w:val="both"/>
        <w:outlineLvl w:val="2"/>
        <w:rPr>
          <w:rFonts w:ascii="Times New Roman" w:eastAsia="Times New Roman" w:hAnsi="Times New Roman" w:cs="Times New Roman"/>
          <w:b/>
          <w:bCs/>
          <w:sz w:val="20"/>
          <w:szCs w:val="20"/>
        </w:rPr>
      </w:pPr>
      <w:r w:rsidRPr="00712435">
        <w:rPr>
          <w:rFonts w:ascii="Times New Roman" w:eastAsia="Times New Roman" w:hAnsi="Times New Roman" w:cs="Times New Roman"/>
          <w:b/>
          <w:bCs/>
          <w:sz w:val="20"/>
          <w:szCs w:val="20"/>
        </w:rPr>
        <w:t>3.1 Public Service Delivery</w:t>
      </w:r>
    </w:p>
    <w:p w14:paraId="2AE87A41" w14:textId="77777777" w:rsidR="00A42481" w:rsidRPr="00712435" w:rsidRDefault="00A42481" w:rsidP="005B2410">
      <w:p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t>AI has the potential to revolutionize public service delivery by making it faster, more accessible, and citizen-centric. Chatbots and virtual assistants are increasingly used on government portals to provide information, guide users through procedures, and resolve basic queries. These systems reduce the burden on human officials and improve service availability, especially in remote areas.</w:t>
      </w:r>
    </w:p>
    <w:p w14:paraId="33A6CDE1" w14:textId="77777777" w:rsidR="00A42481" w:rsidRPr="00712435" w:rsidRDefault="00A42481" w:rsidP="005B2410">
      <w:p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t xml:space="preserve">AI-driven workflow automation can streamline processes such as license approvals, land records management, and tax administration. By reducing </w:t>
      </w:r>
      <w:r w:rsidRPr="00712435">
        <w:rPr>
          <w:rFonts w:ascii="Times New Roman" w:eastAsia="Times New Roman" w:hAnsi="Times New Roman" w:cs="Times New Roman"/>
          <w:sz w:val="20"/>
          <w:szCs w:val="20"/>
        </w:rPr>
        <w:t>manual intervention, such systems minimize delays and opportunities for corruption.</w:t>
      </w:r>
    </w:p>
    <w:p w14:paraId="21350868" w14:textId="77777777" w:rsidR="00A42481" w:rsidRPr="00712435" w:rsidRDefault="00A42481" w:rsidP="005B2410">
      <w:pPr>
        <w:spacing w:before="100" w:beforeAutospacing="1" w:after="100" w:afterAutospacing="1" w:line="240" w:lineRule="auto"/>
        <w:jc w:val="both"/>
        <w:outlineLvl w:val="2"/>
        <w:rPr>
          <w:rFonts w:ascii="Times New Roman" w:eastAsia="Times New Roman" w:hAnsi="Times New Roman" w:cs="Times New Roman"/>
          <w:b/>
          <w:bCs/>
          <w:sz w:val="20"/>
          <w:szCs w:val="20"/>
        </w:rPr>
      </w:pPr>
      <w:r w:rsidRPr="00712435">
        <w:rPr>
          <w:rFonts w:ascii="Times New Roman" w:eastAsia="Times New Roman" w:hAnsi="Times New Roman" w:cs="Times New Roman"/>
          <w:b/>
          <w:bCs/>
          <w:sz w:val="20"/>
          <w:szCs w:val="20"/>
        </w:rPr>
        <w:t>3.2 Welfare Schemes and Social Protection</w:t>
      </w:r>
    </w:p>
    <w:p w14:paraId="0A904531" w14:textId="77777777" w:rsidR="00A42481" w:rsidRPr="00712435" w:rsidRDefault="00A42481" w:rsidP="005B2410">
      <w:p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t>India operates one of the largest welfare systems in the world, covering food security, employment, healthcare, and social security. AI and data analytics enable better targeting of beneficiaries by identifying eligibility patterns and detecting anomalies.</w:t>
      </w:r>
    </w:p>
    <w:p w14:paraId="5BBB203F" w14:textId="77777777" w:rsidR="00A42481" w:rsidRPr="00712435" w:rsidRDefault="00A42481" w:rsidP="005B2410">
      <w:p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t>Predictive models can anticipate demand for welfare services, helping governments allocate resources more effectively. For example, data-driven insights can identify regions vulnerable to food insecurity or unemployment, enabling timely intervention.</w:t>
      </w:r>
    </w:p>
    <w:p w14:paraId="34D0FA9D" w14:textId="77777777" w:rsidR="00A42481" w:rsidRPr="00712435" w:rsidRDefault="00A42481" w:rsidP="005B2410">
      <w:pPr>
        <w:spacing w:before="100" w:beforeAutospacing="1" w:after="100" w:afterAutospacing="1" w:line="240" w:lineRule="auto"/>
        <w:jc w:val="both"/>
        <w:outlineLvl w:val="2"/>
        <w:rPr>
          <w:rFonts w:ascii="Times New Roman" w:eastAsia="Times New Roman" w:hAnsi="Times New Roman" w:cs="Times New Roman"/>
          <w:b/>
          <w:bCs/>
          <w:sz w:val="20"/>
          <w:szCs w:val="20"/>
        </w:rPr>
      </w:pPr>
      <w:r w:rsidRPr="00712435">
        <w:rPr>
          <w:rFonts w:ascii="Times New Roman" w:eastAsia="Times New Roman" w:hAnsi="Times New Roman" w:cs="Times New Roman"/>
          <w:b/>
          <w:bCs/>
          <w:sz w:val="20"/>
          <w:szCs w:val="20"/>
        </w:rPr>
        <w:t>3.3 Healthcare and Public Health Governance</w:t>
      </w:r>
    </w:p>
    <w:p w14:paraId="502B17D3" w14:textId="77777777" w:rsidR="00A42481" w:rsidRPr="00712435" w:rsidRDefault="00A42481" w:rsidP="005B2410">
      <w:p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t>AI applications in public health governance include disease surveillance, outbreak prediction, and healthcare resource optimization. Machine learning models can analyze health data to identify patterns in disease spread, supporting preventive measures.</w:t>
      </w:r>
    </w:p>
    <w:p w14:paraId="203DDBBC" w14:textId="77777777" w:rsidR="00A42481" w:rsidRPr="00712435" w:rsidRDefault="00A42481" w:rsidP="005B2410">
      <w:p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t>Telemedicine platforms, supported by AI-based diagnostics, can extend healthcare access to rural and underserved populations. These technologies contribute to inclusive growth by reducing geographical and economic barriers to healthcare.</w:t>
      </w:r>
    </w:p>
    <w:p w14:paraId="00238C39" w14:textId="77777777" w:rsidR="00A42481" w:rsidRPr="00712435" w:rsidRDefault="00A42481" w:rsidP="005B2410">
      <w:pPr>
        <w:spacing w:before="100" w:beforeAutospacing="1" w:after="100" w:afterAutospacing="1" w:line="240" w:lineRule="auto"/>
        <w:jc w:val="both"/>
        <w:outlineLvl w:val="2"/>
        <w:rPr>
          <w:rFonts w:ascii="Times New Roman" w:eastAsia="Times New Roman" w:hAnsi="Times New Roman" w:cs="Times New Roman"/>
          <w:b/>
          <w:bCs/>
          <w:sz w:val="20"/>
          <w:szCs w:val="20"/>
        </w:rPr>
      </w:pPr>
      <w:r w:rsidRPr="00712435">
        <w:rPr>
          <w:rFonts w:ascii="Times New Roman" w:eastAsia="Times New Roman" w:hAnsi="Times New Roman" w:cs="Times New Roman"/>
          <w:b/>
          <w:bCs/>
          <w:sz w:val="20"/>
          <w:szCs w:val="20"/>
        </w:rPr>
        <w:t>3.4 Smart Cities and Urban Governance</w:t>
      </w:r>
    </w:p>
    <w:p w14:paraId="6EC720C6" w14:textId="77777777" w:rsidR="00A42481" w:rsidRPr="00712435" w:rsidRDefault="00A42481" w:rsidP="005B2410">
      <w:p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t>India’s Smart Cities Mission integrates AI and Internet of Things (IoT) technologies to manage urban infrastructure. AI-driven traffic management systems optimize signal timings and reduce congestion. Predictive maintenance models improve the reliability of utilities such as water and electricity.</w:t>
      </w:r>
    </w:p>
    <w:p w14:paraId="6841435D" w14:textId="77777777" w:rsidR="00A42481" w:rsidRPr="00712435" w:rsidRDefault="00A42481" w:rsidP="005B2410">
      <w:p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t>Urban governance platforms use data analytics to monitor air quality, waste management, and public safety, contributing to sustainable and resilient cities.</w:t>
      </w:r>
    </w:p>
    <w:p w14:paraId="2AC2438B" w14:textId="77777777" w:rsidR="00A42481" w:rsidRPr="00712435" w:rsidRDefault="00A42481" w:rsidP="005B2410">
      <w:pPr>
        <w:spacing w:before="100" w:beforeAutospacing="1" w:after="100" w:afterAutospacing="1" w:line="240" w:lineRule="auto"/>
        <w:jc w:val="both"/>
        <w:outlineLvl w:val="2"/>
        <w:rPr>
          <w:rFonts w:ascii="Times New Roman" w:eastAsia="Times New Roman" w:hAnsi="Times New Roman" w:cs="Times New Roman"/>
          <w:b/>
          <w:bCs/>
          <w:sz w:val="20"/>
          <w:szCs w:val="20"/>
        </w:rPr>
      </w:pPr>
      <w:r w:rsidRPr="00712435">
        <w:rPr>
          <w:rFonts w:ascii="Times New Roman" w:eastAsia="Times New Roman" w:hAnsi="Times New Roman" w:cs="Times New Roman"/>
          <w:b/>
          <w:bCs/>
          <w:sz w:val="20"/>
          <w:szCs w:val="20"/>
        </w:rPr>
        <w:t>3.5 Law Enforcement and Justice Delivery</w:t>
      </w:r>
    </w:p>
    <w:p w14:paraId="79A5EF87" w14:textId="77777777" w:rsidR="00A42481" w:rsidRPr="00712435" w:rsidRDefault="00A42481" w:rsidP="005B2410">
      <w:p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t>AI tools are increasingly used in law enforcement for crime pattern analysis, predictive policing, and case management. Data-driven insights can help allocate policing resources more efficiently and identify crime hotspots.</w:t>
      </w:r>
    </w:p>
    <w:p w14:paraId="6DE30B8C" w14:textId="77777777" w:rsidR="00A42481" w:rsidRPr="00712435" w:rsidRDefault="00A42481" w:rsidP="005B2410">
      <w:p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lastRenderedPageBreak/>
        <w:t>In the justice system, AI-assisted tools can support legal research, case tracking, and backlog reduction. However, these applications require careful oversight to prevent bias and protect civil liberties.</w:t>
      </w:r>
    </w:p>
    <w:p w14:paraId="3A3EDD4A" w14:textId="2E0827F2" w:rsidR="00A42481" w:rsidRPr="00712435" w:rsidRDefault="00A42481" w:rsidP="005B2410">
      <w:pPr>
        <w:spacing w:after="0" w:line="240" w:lineRule="auto"/>
        <w:jc w:val="both"/>
        <w:rPr>
          <w:rFonts w:ascii="Times New Roman" w:eastAsia="Times New Roman" w:hAnsi="Times New Roman" w:cs="Times New Roman"/>
          <w:sz w:val="20"/>
          <w:szCs w:val="20"/>
        </w:rPr>
      </w:pPr>
    </w:p>
    <w:p w14:paraId="18BC3B39" w14:textId="77777777" w:rsidR="00A42481" w:rsidRPr="00712435" w:rsidRDefault="00A42481" w:rsidP="005B2410">
      <w:pPr>
        <w:spacing w:before="100" w:beforeAutospacing="1" w:after="100" w:afterAutospacing="1" w:line="240" w:lineRule="auto"/>
        <w:jc w:val="both"/>
        <w:outlineLvl w:val="1"/>
        <w:rPr>
          <w:rFonts w:ascii="Times New Roman" w:eastAsia="Times New Roman" w:hAnsi="Times New Roman" w:cs="Times New Roman"/>
          <w:b/>
          <w:bCs/>
          <w:sz w:val="20"/>
          <w:szCs w:val="20"/>
        </w:rPr>
      </w:pPr>
      <w:r w:rsidRPr="00712435">
        <w:rPr>
          <w:rFonts w:ascii="Times New Roman" w:eastAsia="Times New Roman" w:hAnsi="Times New Roman" w:cs="Times New Roman"/>
          <w:b/>
          <w:bCs/>
          <w:sz w:val="20"/>
          <w:szCs w:val="20"/>
        </w:rPr>
        <w:t>4. Contribution to Inclusive Growth</w:t>
      </w:r>
    </w:p>
    <w:p w14:paraId="0838BD4C" w14:textId="77777777" w:rsidR="00A42481" w:rsidRPr="00712435" w:rsidRDefault="00A42481" w:rsidP="005B2410">
      <w:pPr>
        <w:spacing w:before="100" w:beforeAutospacing="1" w:after="100" w:afterAutospacing="1" w:line="240" w:lineRule="auto"/>
        <w:jc w:val="both"/>
        <w:outlineLvl w:val="2"/>
        <w:rPr>
          <w:rFonts w:ascii="Times New Roman" w:eastAsia="Times New Roman" w:hAnsi="Times New Roman" w:cs="Times New Roman"/>
          <w:b/>
          <w:bCs/>
          <w:sz w:val="20"/>
          <w:szCs w:val="20"/>
        </w:rPr>
      </w:pPr>
      <w:r w:rsidRPr="00712435">
        <w:rPr>
          <w:rFonts w:ascii="Times New Roman" w:eastAsia="Times New Roman" w:hAnsi="Times New Roman" w:cs="Times New Roman"/>
          <w:b/>
          <w:bCs/>
          <w:sz w:val="20"/>
          <w:szCs w:val="20"/>
        </w:rPr>
        <w:t>4.1 Bridging the Digital Divide</w:t>
      </w:r>
    </w:p>
    <w:p w14:paraId="03C2B9F2" w14:textId="77777777" w:rsidR="00A42481" w:rsidRPr="00712435" w:rsidRDefault="00A42481" w:rsidP="005B2410">
      <w:p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t>Inclusive growth requires that the benefits of AI-driven governance reach all sections of society. Digital platforms can enhance inclusion by providing services in multiple languages, enabling mobile access, and simplifying procedures.</w:t>
      </w:r>
    </w:p>
    <w:p w14:paraId="60642844" w14:textId="77777777" w:rsidR="00A42481" w:rsidRPr="00712435" w:rsidRDefault="00A42481" w:rsidP="005B2410">
      <w:p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t>However, the digital divide remains a significant challenge in India, with disparities in internet access, digital literacy, and device ownership. AI systems must be designed with inclusivity in mind, ensuring that they do not reinforce existing inequalities.</w:t>
      </w:r>
    </w:p>
    <w:p w14:paraId="7D69B11C" w14:textId="77777777" w:rsidR="00A42481" w:rsidRPr="00712435" w:rsidRDefault="00A42481" w:rsidP="005B2410">
      <w:pPr>
        <w:spacing w:before="100" w:beforeAutospacing="1" w:after="100" w:afterAutospacing="1" w:line="240" w:lineRule="auto"/>
        <w:jc w:val="both"/>
        <w:outlineLvl w:val="2"/>
        <w:rPr>
          <w:rFonts w:ascii="Times New Roman" w:eastAsia="Times New Roman" w:hAnsi="Times New Roman" w:cs="Times New Roman"/>
          <w:b/>
          <w:bCs/>
          <w:sz w:val="20"/>
          <w:szCs w:val="20"/>
        </w:rPr>
      </w:pPr>
      <w:r w:rsidRPr="00712435">
        <w:rPr>
          <w:rFonts w:ascii="Times New Roman" w:eastAsia="Times New Roman" w:hAnsi="Times New Roman" w:cs="Times New Roman"/>
          <w:b/>
          <w:bCs/>
          <w:sz w:val="20"/>
          <w:szCs w:val="20"/>
        </w:rPr>
        <w:t>4.2 Financial Inclusion and Economic Empowerment</w:t>
      </w:r>
    </w:p>
    <w:p w14:paraId="5ABC7B67" w14:textId="77777777" w:rsidR="00A42481" w:rsidRPr="00712435" w:rsidRDefault="00A42481" w:rsidP="005B2410">
      <w:p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t>AI-powered fintech platforms and digital payment systems have played a critical role in expanding financial inclusion. Data-driven credit scoring models enable access to formal finance for individuals and small businesses with limited credit history.</w:t>
      </w:r>
    </w:p>
    <w:p w14:paraId="0BD6FE8E" w14:textId="77777777" w:rsidR="00A42481" w:rsidRPr="00712435" w:rsidRDefault="00A42481" w:rsidP="005B2410">
      <w:p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t>By integrating governance platforms with financial infrastructure, governments can promote entrepreneurship, support MSMEs, and stimulate local economic development.</w:t>
      </w:r>
    </w:p>
    <w:p w14:paraId="51F042C9" w14:textId="77777777" w:rsidR="00A42481" w:rsidRPr="00712435" w:rsidRDefault="00A42481" w:rsidP="005B2410">
      <w:pPr>
        <w:spacing w:before="100" w:beforeAutospacing="1" w:after="100" w:afterAutospacing="1" w:line="240" w:lineRule="auto"/>
        <w:jc w:val="both"/>
        <w:outlineLvl w:val="2"/>
        <w:rPr>
          <w:rFonts w:ascii="Times New Roman" w:eastAsia="Times New Roman" w:hAnsi="Times New Roman" w:cs="Times New Roman"/>
          <w:b/>
          <w:bCs/>
          <w:sz w:val="20"/>
          <w:szCs w:val="20"/>
        </w:rPr>
      </w:pPr>
      <w:r w:rsidRPr="00712435">
        <w:rPr>
          <w:rFonts w:ascii="Times New Roman" w:eastAsia="Times New Roman" w:hAnsi="Times New Roman" w:cs="Times New Roman"/>
          <w:b/>
          <w:bCs/>
          <w:sz w:val="20"/>
          <w:szCs w:val="20"/>
        </w:rPr>
        <w:t>4.3 Citizen Participation and Trust</w:t>
      </w:r>
    </w:p>
    <w:p w14:paraId="093EF183" w14:textId="77777777" w:rsidR="00A42481" w:rsidRPr="00712435" w:rsidRDefault="00A42481" w:rsidP="005B2410">
      <w:p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t>Digital governance platforms facilitate citizen participation through online consultations, grievance redressal systems, and feedback mechanisms. AI can analyze citizen inputs to identify common concerns and improve policy responsiveness.</w:t>
      </w:r>
    </w:p>
    <w:p w14:paraId="4EC3F5EC" w14:textId="77777777" w:rsidR="00A42481" w:rsidRPr="00712435" w:rsidRDefault="00A42481" w:rsidP="005B2410">
      <w:p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t>Transparent and efficient digital services enhance trust in public institutions, which is essential for sustainable development.</w:t>
      </w:r>
    </w:p>
    <w:p w14:paraId="4EBE3593" w14:textId="702C6853" w:rsidR="00A42481" w:rsidRPr="00712435" w:rsidRDefault="00A42481" w:rsidP="005B2410">
      <w:pPr>
        <w:spacing w:after="0" w:line="240" w:lineRule="auto"/>
        <w:jc w:val="both"/>
        <w:rPr>
          <w:rFonts w:ascii="Times New Roman" w:eastAsia="Times New Roman" w:hAnsi="Times New Roman" w:cs="Times New Roman"/>
          <w:sz w:val="20"/>
          <w:szCs w:val="20"/>
        </w:rPr>
      </w:pPr>
    </w:p>
    <w:p w14:paraId="721A363F" w14:textId="77777777" w:rsidR="00A42481" w:rsidRPr="00712435" w:rsidRDefault="00A42481" w:rsidP="005B2410">
      <w:pPr>
        <w:spacing w:before="100" w:beforeAutospacing="1" w:after="100" w:afterAutospacing="1" w:line="240" w:lineRule="auto"/>
        <w:jc w:val="both"/>
        <w:outlineLvl w:val="1"/>
        <w:rPr>
          <w:rFonts w:ascii="Times New Roman" w:eastAsia="Times New Roman" w:hAnsi="Times New Roman" w:cs="Times New Roman"/>
          <w:b/>
          <w:bCs/>
          <w:sz w:val="20"/>
          <w:szCs w:val="20"/>
        </w:rPr>
      </w:pPr>
      <w:r w:rsidRPr="00712435">
        <w:rPr>
          <w:rFonts w:ascii="Times New Roman" w:eastAsia="Times New Roman" w:hAnsi="Times New Roman" w:cs="Times New Roman"/>
          <w:b/>
          <w:bCs/>
          <w:sz w:val="20"/>
          <w:szCs w:val="20"/>
        </w:rPr>
        <w:t>5. Ethical, Legal, and Privacy Challenges</w:t>
      </w:r>
    </w:p>
    <w:p w14:paraId="729FF3AA" w14:textId="77777777" w:rsidR="00A42481" w:rsidRPr="00712435" w:rsidRDefault="00A42481" w:rsidP="005B2410">
      <w:pPr>
        <w:spacing w:before="100" w:beforeAutospacing="1" w:after="100" w:afterAutospacing="1" w:line="240" w:lineRule="auto"/>
        <w:jc w:val="both"/>
        <w:outlineLvl w:val="2"/>
        <w:rPr>
          <w:rFonts w:ascii="Times New Roman" w:eastAsia="Times New Roman" w:hAnsi="Times New Roman" w:cs="Times New Roman"/>
          <w:b/>
          <w:bCs/>
          <w:sz w:val="20"/>
          <w:szCs w:val="20"/>
        </w:rPr>
      </w:pPr>
      <w:r w:rsidRPr="00712435">
        <w:rPr>
          <w:rFonts w:ascii="Times New Roman" w:eastAsia="Times New Roman" w:hAnsi="Times New Roman" w:cs="Times New Roman"/>
          <w:b/>
          <w:bCs/>
          <w:sz w:val="20"/>
          <w:szCs w:val="20"/>
        </w:rPr>
        <w:t>5.1 Data Privacy and Surveillance Concerns</w:t>
      </w:r>
    </w:p>
    <w:p w14:paraId="7D53A66F" w14:textId="77777777" w:rsidR="00A42481" w:rsidRPr="00712435" w:rsidRDefault="00A42481" w:rsidP="005B2410">
      <w:p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t>The extensive use of data in AI-driven governance raises concerns about privacy and surveillance. Personal data collected through digital platforms must be protected against misuse, breaches, and unauthorized access.</w:t>
      </w:r>
    </w:p>
    <w:p w14:paraId="0D24DCE6" w14:textId="77777777" w:rsidR="00A42481" w:rsidRPr="00712435" w:rsidRDefault="00A42481" w:rsidP="005B2410">
      <w:p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t>A robust data protection framework is essential to balance innovation with individual rights. Citizens must have clarity on how their data is collected, processed, and used.</w:t>
      </w:r>
    </w:p>
    <w:p w14:paraId="5A3B1EAC" w14:textId="77777777" w:rsidR="00A42481" w:rsidRPr="00712435" w:rsidRDefault="00A42481" w:rsidP="005B2410">
      <w:pPr>
        <w:spacing w:before="100" w:beforeAutospacing="1" w:after="100" w:afterAutospacing="1" w:line="240" w:lineRule="auto"/>
        <w:jc w:val="both"/>
        <w:outlineLvl w:val="2"/>
        <w:rPr>
          <w:rFonts w:ascii="Times New Roman" w:eastAsia="Times New Roman" w:hAnsi="Times New Roman" w:cs="Times New Roman"/>
          <w:b/>
          <w:bCs/>
          <w:sz w:val="20"/>
          <w:szCs w:val="20"/>
        </w:rPr>
      </w:pPr>
      <w:r w:rsidRPr="00712435">
        <w:rPr>
          <w:rFonts w:ascii="Times New Roman" w:eastAsia="Times New Roman" w:hAnsi="Times New Roman" w:cs="Times New Roman"/>
          <w:b/>
          <w:bCs/>
          <w:sz w:val="20"/>
          <w:szCs w:val="20"/>
        </w:rPr>
        <w:t>5.2 Algorithmic Bias and Fairness</w:t>
      </w:r>
    </w:p>
    <w:p w14:paraId="29149263" w14:textId="77777777" w:rsidR="00A42481" w:rsidRPr="00712435" w:rsidRDefault="00A42481" w:rsidP="005B2410">
      <w:p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t>AI systems are only as objective as the data and assumptions on which they are built. Biased datasets can lead to discriminatory outcomes, particularly in areas such as welfare eligibility, law enforcement, and credit assessment.</w:t>
      </w:r>
    </w:p>
    <w:p w14:paraId="1540BB01" w14:textId="77777777" w:rsidR="00A42481" w:rsidRPr="00712435" w:rsidRDefault="00A42481" w:rsidP="005B2410">
      <w:p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t>Ensuring fairness requires continuous auditing of algorithms, diverse datasets, and human oversight in critical decision-making processes.</w:t>
      </w:r>
    </w:p>
    <w:p w14:paraId="6F52E370" w14:textId="77777777" w:rsidR="00A42481" w:rsidRPr="00712435" w:rsidRDefault="00A42481" w:rsidP="005B2410">
      <w:pPr>
        <w:spacing w:before="100" w:beforeAutospacing="1" w:after="100" w:afterAutospacing="1" w:line="240" w:lineRule="auto"/>
        <w:jc w:val="both"/>
        <w:outlineLvl w:val="2"/>
        <w:rPr>
          <w:rFonts w:ascii="Times New Roman" w:eastAsia="Times New Roman" w:hAnsi="Times New Roman" w:cs="Times New Roman"/>
          <w:b/>
          <w:bCs/>
          <w:sz w:val="20"/>
          <w:szCs w:val="20"/>
        </w:rPr>
      </w:pPr>
      <w:r w:rsidRPr="00712435">
        <w:rPr>
          <w:rFonts w:ascii="Times New Roman" w:eastAsia="Times New Roman" w:hAnsi="Times New Roman" w:cs="Times New Roman"/>
          <w:b/>
          <w:bCs/>
          <w:sz w:val="20"/>
          <w:szCs w:val="20"/>
        </w:rPr>
        <w:t>5.3 Accountability and Transparency</w:t>
      </w:r>
    </w:p>
    <w:p w14:paraId="59EC23DE" w14:textId="77777777" w:rsidR="00A42481" w:rsidRPr="00712435" w:rsidRDefault="00A42481" w:rsidP="005B2410">
      <w:p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t>Automated decision-making can obscure accountability if the logic behind decisions is not transparent. In governance, it is essential that AI systems are explainable and subject to review.</w:t>
      </w:r>
    </w:p>
    <w:p w14:paraId="5328CFF1" w14:textId="77777777" w:rsidR="00A42481" w:rsidRPr="00712435" w:rsidRDefault="00A42481" w:rsidP="005B2410">
      <w:p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t>Clear accountability mechanisms must define responsibility for errors, misuse, or adverse outcomes resulting from AI-driven decisions.</w:t>
      </w:r>
    </w:p>
    <w:p w14:paraId="5FBE37A7" w14:textId="72AB3B20" w:rsidR="00A42481" w:rsidRPr="00712435" w:rsidRDefault="00A42481" w:rsidP="005B2410">
      <w:pPr>
        <w:spacing w:after="0" w:line="240" w:lineRule="auto"/>
        <w:jc w:val="both"/>
        <w:rPr>
          <w:rFonts w:ascii="Times New Roman" w:eastAsia="Times New Roman" w:hAnsi="Times New Roman" w:cs="Times New Roman"/>
          <w:sz w:val="20"/>
          <w:szCs w:val="20"/>
        </w:rPr>
      </w:pPr>
    </w:p>
    <w:p w14:paraId="1F69D91D" w14:textId="77777777" w:rsidR="00A42481" w:rsidRPr="00712435" w:rsidRDefault="00A42481" w:rsidP="005B2410">
      <w:pPr>
        <w:spacing w:before="100" w:beforeAutospacing="1" w:after="100" w:afterAutospacing="1" w:line="240" w:lineRule="auto"/>
        <w:jc w:val="both"/>
        <w:outlineLvl w:val="1"/>
        <w:rPr>
          <w:rFonts w:ascii="Times New Roman" w:eastAsia="Times New Roman" w:hAnsi="Times New Roman" w:cs="Times New Roman"/>
          <w:b/>
          <w:bCs/>
          <w:sz w:val="20"/>
          <w:szCs w:val="20"/>
        </w:rPr>
      </w:pPr>
      <w:r w:rsidRPr="00712435">
        <w:rPr>
          <w:rFonts w:ascii="Times New Roman" w:eastAsia="Times New Roman" w:hAnsi="Times New Roman" w:cs="Times New Roman"/>
          <w:b/>
          <w:bCs/>
          <w:sz w:val="20"/>
          <w:szCs w:val="20"/>
        </w:rPr>
        <w:t>6. Institutional and Capacity Challenges</w:t>
      </w:r>
    </w:p>
    <w:p w14:paraId="3ABAE00A" w14:textId="77777777" w:rsidR="00A42481" w:rsidRPr="00712435" w:rsidRDefault="00A42481" w:rsidP="005B2410">
      <w:pPr>
        <w:spacing w:before="100" w:beforeAutospacing="1" w:after="100" w:afterAutospacing="1" w:line="240" w:lineRule="auto"/>
        <w:jc w:val="both"/>
        <w:outlineLvl w:val="2"/>
        <w:rPr>
          <w:rFonts w:ascii="Times New Roman" w:eastAsia="Times New Roman" w:hAnsi="Times New Roman" w:cs="Times New Roman"/>
          <w:b/>
          <w:bCs/>
          <w:sz w:val="20"/>
          <w:szCs w:val="20"/>
        </w:rPr>
      </w:pPr>
      <w:r w:rsidRPr="00712435">
        <w:rPr>
          <w:rFonts w:ascii="Times New Roman" w:eastAsia="Times New Roman" w:hAnsi="Times New Roman" w:cs="Times New Roman"/>
          <w:b/>
          <w:bCs/>
          <w:sz w:val="20"/>
          <w:szCs w:val="20"/>
        </w:rPr>
        <w:t>6.1 Skills and Human Capital</w:t>
      </w:r>
    </w:p>
    <w:p w14:paraId="2E31A372" w14:textId="77777777" w:rsidR="00A42481" w:rsidRPr="00712435" w:rsidRDefault="00A42481" w:rsidP="005B2410">
      <w:p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t>Effective AI adoption in governance requires skilled personnel capable of designing, managing, and evaluating digital systems. Capacity building within the civil services is critical to bridge the gap between technology and administration.</w:t>
      </w:r>
    </w:p>
    <w:p w14:paraId="41580EA7" w14:textId="77777777" w:rsidR="00A42481" w:rsidRPr="00712435" w:rsidRDefault="00A42481" w:rsidP="005B2410">
      <w:p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t>Training programs, interdisciplinary collaboration, and partnerships with academic institutions can enhance digital competencies in the public sector.</w:t>
      </w:r>
    </w:p>
    <w:p w14:paraId="6A36E605" w14:textId="77777777" w:rsidR="00A42481" w:rsidRPr="00712435" w:rsidRDefault="00A42481" w:rsidP="005B2410">
      <w:pPr>
        <w:spacing w:before="100" w:beforeAutospacing="1" w:after="100" w:afterAutospacing="1" w:line="240" w:lineRule="auto"/>
        <w:jc w:val="both"/>
        <w:outlineLvl w:val="2"/>
        <w:rPr>
          <w:rFonts w:ascii="Times New Roman" w:eastAsia="Times New Roman" w:hAnsi="Times New Roman" w:cs="Times New Roman"/>
          <w:b/>
          <w:bCs/>
          <w:sz w:val="20"/>
          <w:szCs w:val="20"/>
        </w:rPr>
      </w:pPr>
      <w:r w:rsidRPr="00712435">
        <w:rPr>
          <w:rFonts w:ascii="Times New Roman" w:eastAsia="Times New Roman" w:hAnsi="Times New Roman" w:cs="Times New Roman"/>
          <w:b/>
          <w:bCs/>
          <w:sz w:val="20"/>
          <w:szCs w:val="20"/>
        </w:rPr>
        <w:t>6.2 Interoperability and Data Quality</w:t>
      </w:r>
    </w:p>
    <w:p w14:paraId="57234759" w14:textId="77777777" w:rsidR="00A42481" w:rsidRPr="00712435" w:rsidRDefault="00A42481" w:rsidP="005B2410">
      <w:p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lastRenderedPageBreak/>
        <w:t>AI systems rely on high-quality, interoperable data. Fragmented databases and inconsistent data standards limit the effectiveness of data-driven governance.</w:t>
      </w:r>
    </w:p>
    <w:p w14:paraId="7F7512FF" w14:textId="77777777" w:rsidR="00A42481" w:rsidRPr="00712435" w:rsidRDefault="00A42481" w:rsidP="005B2410">
      <w:p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t>Developing common data standards and interoperable platforms is essential for integrated and efficient governance.</w:t>
      </w:r>
    </w:p>
    <w:p w14:paraId="4966AF88" w14:textId="77777777" w:rsidR="00A42481" w:rsidRPr="00712435" w:rsidRDefault="00A42481" w:rsidP="005B2410">
      <w:pPr>
        <w:spacing w:before="100" w:beforeAutospacing="1" w:after="100" w:afterAutospacing="1" w:line="240" w:lineRule="auto"/>
        <w:jc w:val="both"/>
        <w:outlineLvl w:val="2"/>
        <w:rPr>
          <w:rFonts w:ascii="Times New Roman" w:eastAsia="Times New Roman" w:hAnsi="Times New Roman" w:cs="Times New Roman"/>
          <w:b/>
          <w:bCs/>
          <w:sz w:val="20"/>
          <w:szCs w:val="20"/>
        </w:rPr>
      </w:pPr>
      <w:r w:rsidRPr="00712435">
        <w:rPr>
          <w:rFonts w:ascii="Times New Roman" w:eastAsia="Times New Roman" w:hAnsi="Times New Roman" w:cs="Times New Roman"/>
          <w:b/>
          <w:bCs/>
          <w:sz w:val="20"/>
          <w:szCs w:val="20"/>
        </w:rPr>
        <w:t>6.3 Change Management and Organizational Culture</w:t>
      </w:r>
    </w:p>
    <w:p w14:paraId="0368C7A8" w14:textId="77777777" w:rsidR="00A42481" w:rsidRPr="00712435" w:rsidRDefault="00A42481" w:rsidP="005B2410">
      <w:p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t>The transition to AI-driven governance requires organizational change and cultural adaptation. Resistance to change, fear of job displacement, and lack of trust in technology can hinder adoption.</w:t>
      </w:r>
    </w:p>
    <w:p w14:paraId="65C023F0" w14:textId="77777777" w:rsidR="00A42481" w:rsidRPr="00712435" w:rsidRDefault="00A42481" w:rsidP="005B2410">
      <w:p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t>Leadership commitment and inclusive change management strategies are necessary to ensure successful implementation.</w:t>
      </w:r>
    </w:p>
    <w:p w14:paraId="172F98F7" w14:textId="3247C281" w:rsidR="00A42481" w:rsidRPr="00712435" w:rsidRDefault="00A42481" w:rsidP="005B2410">
      <w:pPr>
        <w:spacing w:after="0" w:line="240" w:lineRule="auto"/>
        <w:jc w:val="both"/>
        <w:rPr>
          <w:rFonts w:ascii="Times New Roman" w:eastAsia="Times New Roman" w:hAnsi="Times New Roman" w:cs="Times New Roman"/>
          <w:sz w:val="20"/>
          <w:szCs w:val="20"/>
        </w:rPr>
      </w:pPr>
    </w:p>
    <w:p w14:paraId="180BE8FD" w14:textId="77777777" w:rsidR="00A42481" w:rsidRPr="00712435" w:rsidRDefault="00A42481" w:rsidP="005B2410">
      <w:pPr>
        <w:spacing w:before="100" w:beforeAutospacing="1" w:after="100" w:afterAutospacing="1" w:line="240" w:lineRule="auto"/>
        <w:jc w:val="both"/>
        <w:outlineLvl w:val="1"/>
        <w:rPr>
          <w:rFonts w:ascii="Times New Roman" w:eastAsia="Times New Roman" w:hAnsi="Times New Roman" w:cs="Times New Roman"/>
          <w:b/>
          <w:bCs/>
          <w:sz w:val="20"/>
          <w:szCs w:val="20"/>
        </w:rPr>
      </w:pPr>
      <w:r w:rsidRPr="00712435">
        <w:rPr>
          <w:rFonts w:ascii="Times New Roman" w:eastAsia="Times New Roman" w:hAnsi="Times New Roman" w:cs="Times New Roman"/>
          <w:b/>
          <w:bCs/>
          <w:sz w:val="20"/>
          <w:szCs w:val="20"/>
        </w:rPr>
        <w:t>7. Strategic Framework for Responsible AI Governance in India</w:t>
      </w:r>
    </w:p>
    <w:p w14:paraId="1BF600AA" w14:textId="77777777" w:rsidR="00A42481" w:rsidRPr="00712435" w:rsidRDefault="00A42481" w:rsidP="005B2410">
      <w:p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t>Based on the analysis, this paper proposes a strategic framework for responsible AI-driven governance:</w:t>
      </w:r>
    </w:p>
    <w:p w14:paraId="47842990" w14:textId="77777777" w:rsidR="00A42481" w:rsidRPr="00712435" w:rsidRDefault="00A42481" w:rsidP="005B2410">
      <w:pPr>
        <w:numPr>
          <w:ilvl w:val="0"/>
          <w:numId w:val="2"/>
        </w:num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b/>
          <w:bCs/>
          <w:sz w:val="20"/>
          <w:szCs w:val="20"/>
        </w:rPr>
        <w:t>Human-Centric Design:</w:t>
      </w:r>
      <w:r w:rsidRPr="00712435">
        <w:rPr>
          <w:rFonts w:ascii="Times New Roman" w:eastAsia="Times New Roman" w:hAnsi="Times New Roman" w:cs="Times New Roman"/>
          <w:sz w:val="20"/>
          <w:szCs w:val="20"/>
        </w:rPr>
        <w:t xml:space="preserve"> AI systems should augment human decision-making, not replace it entirely.</w:t>
      </w:r>
    </w:p>
    <w:p w14:paraId="343B4ECF" w14:textId="77777777" w:rsidR="00A42481" w:rsidRPr="00712435" w:rsidRDefault="00A42481" w:rsidP="005B2410">
      <w:pPr>
        <w:numPr>
          <w:ilvl w:val="0"/>
          <w:numId w:val="2"/>
        </w:num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b/>
          <w:bCs/>
          <w:sz w:val="20"/>
          <w:szCs w:val="20"/>
        </w:rPr>
        <w:t>Ethical by Design:</w:t>
      </w:r>
      <w:r w:rsidRPr="00712435">
        <w:rPr>
          <w:rFonts w:ascii="Times New Roman" w:eastAsia="Times New Roman" w:hAnsi="Times New Roman" w:cs="Times New Roman"/>
          <w:sz w:val="20"/>
          <w:szCs w:val="20"/>
        </w:rPr>
        <w:t xml:space="preserve"> Ethics, fairness, and privacy should be embedded into system design from the outset.</w:t>
      </w:r>
    </w:p>
    <w:p w14:paraId="624B1857" w14:textId="77777777" w:rsidR="00A42481" w:rsidRPr="00712435" w:rsidRDefault="00A42481" w:rsidP="005B2410">
      <w:pPr>
        <w:numPr>
          <w:ilvl w:val="0"/>
          <w:numId w:val="2"/>
        </w:num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b/>
          <w:bCs/>
          <w:sz w:val="20"/>
          <w:szCs w:val="20"/>
        </w:rPr>
        <w:t>Inclusive Access:</w:t>
      </w:r>
      <w:r w:rsidRPr="00712435">
        <w:rPr>
          <w:rFonts w:ascii="Times New Roman" w:eastAsia="Times New Roman" w:hAnsi="Times New Roman" w:cs="Times New Roman"/>
          <w:sz w:val="20"/>
          <w:szCs w:val="20"/>
        </w:rPr>
        <w:t xml:space="preserve"> Digital services must be accessible across socio-economic and linguistic boundaries.</w:t>
      </w:r>
    </w:p>
    <w:p w14:paraId="75F1A3D5" w14:textId="77777777" w:rsidR="00A42481" w:rsidRPr="00712435" w:rsidRDefault="00A42481" w:rsidP="005B2410">
      <w:pPr>
        <w:numPr>
          <w:ilvl w:val="0"/>
          <w:numId w:val="2"/>
        </w:num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b/>
          <w:bCs/>
          <w:sz w:val="20"/>
          <w:szCs w:val="20"/>
        </w:rPr>
        <w:t>Regulatory Oversight:</w:t>
      </w:r>
      <w:r w:rsidRPr="00712435">
        <w:rPr>
          <w:rFonts w:ascii="Times New Roman" w:eastAsia="Times New Roman" w:hAnsi="Times New Roman" w:cs="Times New Roman"/>
          <w:sz w:val="20"/>
          <w:szCs w:val="20"/>
        </w:rPr>
        <w:t xml:space="preserve"> Clear legal frameworks should govern data use, accountability, and redressal mechanisms.</w:t>
      </w:r>
    </w:p>
    <w:p w14:paraId="5227279A" w14:textId="77777777" w:rsidR="00A42481" w:rsidRPr="00712435" w:rsidRDefault="00A42481" w:rsidP="005B2410">
      <w:pPr>
        <w:numPr>
          <w:ilvl w:val="0"/>
          <w:numId w:val="2"/>
        </w:num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b/>
          <w:bCs/>
          <w:sz w:val="20"/>
          <w:szCs w:val="20"/>
        </w:rPr>
        <w:t>Capacity Building:</w:t>
      </w:r>
      <w:r w:rsidRPr="00712435">
        <w:rPr>
          <w:rFonts w:ascii="Times New Roman" w:eastAsia="Times New Roman" w:hAnsi="Times New Roman" w:cs="Times New Roman"/>
          <w:sz w:val="20"/>
          <w:szCs w:val="20"/>
        </w:rPr>
        <w:t xml:space="preserve"> Continuous skill development for public officials is essential.</w:t>
      </w:r>
    </w:p>
    <w:p w14:paraId="43271749" w14:textId="77777777" w:rsidR="00A42481" w:rsidRPr="00712435" w:rsidRDefault="00A42481" w:rsidP="005B2410">
      <w:pPr>
        <w:numPr>
          <w:ilvl w:val="0"/>
          <w:numId w:val="2"/>
        </w:num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b/>
          <w:bCs/>
          <w:sz w:val="20"/>
          <w:szCs w:val="20"/>
        </w:rPr>
        <w:t>Public-Private Collaboration:</w:t>
      </w:r>
      <w:r w:rsidRPr="00712435">
        <w:rPr>
          <w:rFonts w:ascii="Times New Roman" w:eastAsia="Times New Roman" w:hAnsi="Times New Roman" w:cs="Times New Roman"/>
          <w:sz w:val="20"/>
          <w:szCs w:val="20"/>
        </w:rPr>
        <w:t xml:space="preserve"> Partnerships with industry and academia can drive innovation while ensuring public interest.</w:t>
      </w:r>
    </w:p>
    <w:p w14:paraId="4DB52B47" w14:textId="111A1FEF" w:rsidR="00A42481" w:rsidRPr="00712435" w:rsidRDefault="00A42481" w:rsidP="005B2410">
      <w:pPr>
        <w:spacing w:after="0" w:line="240" w:lineRule="auto"/>
        <w:jc w:val="both"/>
        <w:rPr>
          <w:rFonts w:ascii="Times New Roman" w:eastAsia="Times New Roman" w:hAnsi="Times New Roman" w:cs="Times New Roman"/>
          <w:sz w:val="20"/>
          <w:szCs w:val="20"/>
        </w:rPr>
      </w:pPr>
    </w:p>
    <w:p w14:paraId="3A4A21E1" w14:textId="77777777" w:rsidR="00A42481" w:rsidRPr="00712435" w:rsidRDefault="00A42481" w:rsidP="005B2410">
      <w:pPr>
        <w:spacing w:before="100" w:beforeAutospacing="1" w:after="100" w:afterAutospacing="1" w:line="240" w:lineRule="auto"/>
        <w:jc w:val="both"/>
        <w:outlineLvl w:val="1"/>
        <w:rPr>
          <w:rFonts w:ascii="Times New Roman" w:eastAsia="Times New Roman" w:hAnsi="Times New Roman" w:cs="Times New Roman"/>
          <w:b/>
          <w:bCs/>
          <w:sz w:val="20"/>
          <w:szCs w:val="20"/>
        </w:rPr>
      </w:pPr>
      <w:r w:rsidRPr="00712435">
        <w:rPr>
          <w:rFonts w:ascii="Times New Roman" w:eastAsia="Times New Roman" w:hAnsi="Times New Roman" w:cs="Times New Roman"/>
          <w:b/>
          <w:bCs/>
          <w:sz w:val="20"/>
          <w:szCs w:val="20"/>
        </w:rPr>
        <w:t>8. Future Outlook: AI and Viksit Bharat 2047</w:t>
      </w:r>
    </w:p>
    <w:p w14:paraId="49027B78" w14:textId="77777777" w:rsidR="00A42481" w:rsidRPr="00712435" w:rsidRDefault="00A42481" w:rsidP="005B2410">
      <w:p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t>As India moves toward the vision of Viksit Bharat 2047, AI-driven digital governance will play a pivotal role in shaping economic growth, social inclusion, and institutional resilience. Emerging technologies such as generative AI, advanced analytics, and decentralized data architectures offer new possibilities for participatory and adaptive governance.</w:t>
      </w:r>
    </w:p>
    <w:p w14:paraId="7F479669" w14:textId="77777777" w:rsidR="00A42481" w:rsidRPr="00712435" w:rsidRDefault="00A42481" w:rsidP="005B2410">
      <w:p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t>The challenge lies in ensuring that technological progress aligns with democratic values, social justice, and sustainability. A balanced approach that combines innovation with responsibility can position India as a global leader in ethical and inclusive digital governance.</w:t>
      </w:r>
    </w:p>
    <w:p w14:paraId="786248F4" w14:textId="05FDAEED" w:rsidR="00A42481" w:rsidRPr="00712435" w:rsidRDefault="00A42481" w:rsidP="005B2410">
      <w:pPr>
        <w:spacing w:after="0" w:line="240" w:lineRule="auto"/>
        <w:jc w:val="both"/>
        <w:rPr>
          <w:rFonts w:ascii="Times New Roman" w:eastAsia="Times New Roman" w:hAnsi="Times New Roman" w:cs="Times New Roman"/>
          <w:sz w:val="20"/>
          <w:szCs w:val="20"/>
        </w:rPr>
      </w:pPr>
    </w:p>
    <w:p w14:paraId="6D95C0EF" w14:textId="77777777" w:rsidR="00A42481" w:rsidRPr="00712435" w:rsidRDefault="00A42481" w:rsidP="005B2410">
      <w:pPr>
        <w:spacing w:before="100" w:beforeAutospacing="1" w:after="100" w:afterAutospacing="1" w:line="240" w:lineRule="auto"/>
        <w:jc w:val="both"/>
        <w:outlineLvl w:val="1"/>
        <w:rPr>
          <w:rFonts w:ascii="Times New Roman" w:eastAsia="Times New Roman" w:hAnsi="Times New Roman" w:cs="Times New Roman"/>
          <w:b/>
          <w:bCs/>
          <w:sz w:val="20"/>
          <w:szCs w:val="20"/>
        </w:rPr>
      </w:pPr>
      <w:r w:rsidRPr="00712435">
        <w:rPr>
          <w:rFonts w:ascii="Times New Roman" w:eastAsia="Times New Roman" w:hAnsi="Times New Roman" w:cs="Times New Roman"/>
          <w:b/>
          <w:bCs/>
          <w:sz w:val="20"/>
          <w:szCs w:val="20"/>
        </w:rPr>
        <w:t>9. Conclusion</w:t>
      </w:r>
    </w:p>
    <w:p w14:paraId="25177A40" w14:textId="77777777" w:rsidR="00A42481" w:rsidRPr="00712435" w:rsidRDefault="00A42481" w:rsidP="005B2410">
      <w:p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t>AI-driven digital governance represents a transformative opportunity for India to enhance public service delivery, promote inclusive growth, and strengthen democratic institutions. While the potential benefits are significant, they are accompanied by ethical, legal, and institutional challenges that require careful consideration.</w:t>
      </w:r>
    </w:p>
    <w:p w14:paraId="10B9B29C" w14:textId="77777777" w:rsidR="00A42481" w:rsidRPr="00712435" w:rsidRDefault="00A42481" w:rsidP="005B2410">
      <w:p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t>This paper emphasizes that technology alone cannot solve governance challenges. The success of AI in governance depends on human judgment, ethical frameworks, institutional capacity, and citizen trust. By adopting a responsible, inclusive, and future-oriented approach, India can harness AI as a powerful enabler of sustainable development and national progress.</w:t>
      </w:r>
    </w:p>
    <w:p w14:paraId="3F05B77B" w14:textId="2DCC4905" w:rsidR="00A42481" w:rsidRPr="00712435" w:rsidRDefault="00A42481" w:rsidP="005B2410">
      <w:pPr>
        <w:spacing w:after="0" w:line="240" w:lineRule="auto"/>
        <w:jc w:val="both"/>
        <w:rPr>
          <w:rFonts w:ascii="Times New Roman" w:eastAsia="Times New Roman" w:hAnsi="Times New Roman" w:cs="Times New Roman"/>
          <w:sz w:val="20"/>
          <w:szCs w:val="20"/>
        </w:rPr>
      </w:pPr>
    </w:p>
    <w:p w14:paraId="595CB4FC" w14:textId="77777777" w:rsidR="00A42481" w:rsidRPr="00712435" w:rsidRDefault="00A42481" w:rsidP="005B2410">
      <w:pPr>
        <w:spacing w:before="100" w:beforeAutospacing="1" w:after="100" w:afterAutospacing="1" w:line="240" w:lineRule="auto"/>
        <w:jc w:val="both"/>
        <w:outlineLvl w:val="1"/>
        <w:rPr>
          <w:rFonts w:ascii="Times New Roman" w:eastAsia="Times New Roman" w:hAnsi="Times New Roman" w:cs="Times New Roman"/>
          <w:b/>
          <w:bCs/>
          <w:sz w:val="20"/>
          <w:szCs w:val="20"/>
        </w:rPr>
      </w:pPr>
      <w:r w:rsidRPr="00712435">
        <w:rPr>
          <w:rFonts w:ascii="Times New Roman" w:eastAsia="Times New Roman" w:hAnsi="Times New Roman" w:cs="Times New Roman"/>
          <w:b/>
          <w:bCs/>
          <w:sz w:val="20"/>
          <w:szCs w:val="20"/>
        </w:rPr>
        <w:t>References</w:t>
      </w:r>
    </w:p>
    <w:p w14:paraId="54981671" w14:textId="77777777" w:rsidR="00A42481" w:rsidRPr="00712435" w:rsidRDefault="00A42481" w:rsidP="005B2410">
      <w:pPr>
        <w:numPr>
          <w:ilvl w:val="0"/>
          <w:numId w:val="3"/>
        </w:num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t xml:space="preserve">Government of India. Digital India </w:t>
      </w:r>
      <w:proofErr w:type="spellStart"/>
      <w:r w:rsidRPr="00712435">
        <w:rPr>
          <w:rFonts w:ascii="Times New Roman" w:eastAsia="Times New Roman" w:hAnsi="Times New Roman" w:cs="Times New Roman"/>
          <w:sz w:val="20"/>
          <w:szCs w:val="20"/>
        </w:rPr>
        <w:t>Programme</w:t>
      </w:r>
      <w:proofErr w:type="spellEnd"/>
      <w:r w:rsidRPr="00712435">
        <w:rPr>
          <w:rFonts w:ascii="Times New Roman" w:eastAsia="Times New Roman" w:hAnsi="Times New Roman" w:cs="Times New Roman"/>
          <w:sz w:val="20"/>
          <w:szCs w:val="20"/>
        </w:rPr>
        <w:t xml:space="preserve"> Documents.</w:t>
      </w:r>
    </w:p>
    <w:p w14:paraId="69A1C04B" w14:textId="77777777" w:rsidR="00A42481" w:rsidRPr="00712435" w:rsidRDefault="00A42481" w:rsidP="005B2410">
      <w:pPr>
        <w:numPr>
          <w:ilvl w:val="0"/>
          <w:numId w:val="3"/>
        </w:num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t>NITI Aayog. National Strategy for Artificial Intelligence.</w:t>
      </w:r>
    </w:p>
    <w:p w14:paraId="7D5AF5E1" w14:textId="77777777" w:rsidR="00A42481" w:rsidRPr="00712435" w:rsidRDefault="00A42481" w:rsidP="005B2410">
      <w:pPr>
        <w:numPr>
          <w:ilvl w:val="0"/>
          <w:numId w:val="3"/>
        </w:num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t>United Nations. E-Government Survey Reports.</w:t>
      </w:r>
    </w:p>
    <w:p w14:paraId="2597A383" w14:textId="77777777" w:rsidR="00A42481" w:rsidRPr="00712435" w:rsidRDefault="00A42481" w:rsidP="005B2410">
      <w:pPr>
        <w:numPr>
          <w:ilvl w:val="0"/>
          <w:numId w:val="3"/>
        </w:num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t>OECD. AI in the Public Sector: Opportunities and Challenges.</w:t>
      </w:r>
    </w:p>
    <w:p w14:paraId="4568AC49" w14:textId="77777777" w:rsidR="00A42481" w:rsidRPr="00712435" w:rsidRDefault="00A42481" w:rsidP="005B2410">
      <w:pPr>
        <w:numPr>
          <w:ilvl w:val="0"/>
          <w:numId w:val="3"/>
        </w:numPr>
        <w:spacing w:before="100" w:beforeAutospacing="1" w:after="100" w:afterAutospacing="1" w:line="240" w:lineRule="auto"/>
        <w:jc w:val="both"/>
        <w:rPr>
          <w:rFonts w:ascii="Times New Roman" w:eastAsia="Times New Roman" w:hAnsi="Times New Roman" w:cs="Times New Roman"/>
          <w:sz w:val="20"/>
          <w:szCs w:val="20"/>
        </w:rPr>
      </w:pPr>
      <w:r w:rsidRPr="00712435">
        <w:rPr>
          <w:rFonts w:ascii="Times New Roman" w:eastAsia="Times New Roman" w:hAnsi="Times New Roman" w:cs="Times New Roman"/>
          <w:sz w:val="20"/>
          <w:szCs w:val="20"/>
        </w:rPr>
        <w:t>World Bank. Data-Driven Governance and Development.</w:t>
      </w:r>
    </w:p>
    <w:p w14:paraId="6285444B" w14:textId="77777777" w:rsidR="00712435" w:rsidRDefault="00712435" w:rsidP="005B2410">
      <w:pPr>
        <w:jc w:val="both"/>
        <w:rPr>
          <w:rFonts w:ascii="Times New Roman" w:hAnsi="Times New Roman" w:cs="Times New Roman"/>
          <w:sz w:val="20"/>
          <w:szCs w:val="20"/>
        </w:rPr>
        <w:sectPr w:rsidR="00712435" w:rsidSect="00712435">
          <w:type w:val="continuous"/>
          <w:pgSz w:w="12240" w:h="15840"/>
          <w:pgMar w:top="1440" w:right="1440" w:bottom="1440" w:left="1440" w:header="720" w:footer="720" w:gutter="0"/>
          <w:cols w:num="2" w:space="720"/>
          <w:docGrid w:linePitch="360"/>
        </w:sectPr>
      </w:pPr>
    </w:p>
    <w:p w14:paraId="5BA6423C" w14:textId="77777777" w:rsidR="009C3092" w:rsidRPr="00712435" w:rsidRDefault="009C3092" w:rsidP="005B2410">
      <w:pPr>
        <w:jc w:val="both"/>
        <w:rPr>
          <w:rFonts w:ascii="Times New Roman" w:hAnsi="Times New Roman" w:cs="Times New Roman"/>
          <w:sz w:val="20"/>
          <w:szCs w:val="20"/>
        </w:rPr>
      </w:pPr>
    </w:p>
    <w:sectPr w:rsidR="009C3092" w:rsidRPr="00712435" w:rsidSect="0071243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14F42" w14:textId="77777777" w:rsidR="00775581" w:rsidRDefault="00775581" w:rsidP="005B2410">
      <w:pPr>
        <w:spacing w:after="0" w:line="240" w:lineRule="auto"/>
      </w:pPr>
      <w:r>
        <w:separator/>
      </w:r>
    </w:p>
  </w:endnote>
  <w:endnote w:type="continuationSeparator" w:id="0">
    <w:p w14:paraId="3D945B4D" w14:textId="77777777" w:rsidR="00775581" w:rsidRDefault="00775581" w:rsidP="005B24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9047799"/>
      <w:docPartObj>
        <w:docPartGallery w:val="Page Numbers (Bottom of Page)"/>
        <w:docPartUnique/>
      </w:docPartObj>
    </w:sdtPr>
    <w:sdtEndPr>
      <w:rPr>
        <w:noProof/>
      </w:rPr>
    </w:sdtEndPr>
    <w:sdtContent>
      <w:p w14:paraId="34BA6408" w14:textId="3FD06DF1" w:rsidR="005B2410" w:rsidRDefault="005B24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88EE8C" w14:textId="77777777" w:rsidR="005B2410" w:rsidRDefault="005B24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99005" w14:textId="77777777" w:rsidR="00775581" w:rsidRDefault="00775581" w:rsidP="005B2410">
      <w:pPr>
        <w:spacing w:after="0" w:line="240" w:lineRule="auto"/>
      </w:pPr>
      <w:r>
        <w:separator/>
      </w:r>
    </w:p>
  </w:footnote>
  <w:footnote w:type="continuationSeparator" w:id="0">
    <w:p w14:paraId="51623A1E" w14:textId="77777777" w:rsidR="00775581" w:rsidRDefault="00775581" w:rsidP="005B24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D535DD"/>
    <w:multiLevelType w:val="multilevel"/>
    <w:tmpl w:val="41CA6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AB61F3"/>
    <w:multiLevelType w:val="multilevel"/>
    <w:tmpl w:val="BF9C5F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8B34676"/>
    <w:multiLevelType w:val="multilevel"/>
    <w:tmpl w:val="CAD623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78429228">
    <w:abstractNumId w:val="0"/>
  </w:num>
  <w:num w:numId="2" w16cid:durableId="1518807834">
    <w:abstractNumId w:val="2"/>
  </w:num>
  <w:num w:numId="3" w16cid:durableId="14313911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481"/>
    <w:rsid w:val="00071D70"/>
    <w:rsid w:val="000F206F"/>
    <w:rsid w:val="005819A5"/>
    <w:rsid w:val="005B2410"/>
    <w:rsid w:val="00712435"/>
    <w:rsid w:val="00775581"/>
    <w:rsid w:val="009C3092"/>
    <w:rsid w:val="00A42481"/>
    <w:rsid w:val="00A67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F5CAD"/>
  <w15:chartTrackingRefBased/>
  <w15:docId w15:val="{1C334856-B64A-4E14-BE25-F48EBC004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4248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4248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4248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248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42481"/>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4248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4248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42481"/>
    <w:rPr>
      <w:b/>
      <w:bCs/>
    </w:rPr>
  </w:style>
  <w:style w:type="paragraph" w:styleId="Header">
    <w:name w:val="header"/>
    <w:basedOn w:val="Normal"/>
    <w:link w:val="HeaderChar"/>
    <w:uiPriority w:val="99"/>
    <w:unhideWhenUsed/>
    <w:rsid w:val="005B24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2410"/>
  </w:style>
  <w:style w:type="paragraph" w:styleId="Footer">
    <w:name w:val="footer"/>
    <w:basedOn w:val="Normal"/>
    <w:link w:val="FooterChar"/>
    <w:uiPriority w:val="99"/>
    <w:unhideWhenUsed/>
    <w:rsid w:val="005B24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24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7997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2134</Words>
  <Characters>12165</Characters>
  <Application>Microsoft Office Word</Application>
  <DocSecurity>0</DocSecurity>
  <Lines>101</Lines>
  <Paragraphs>28</Paragraphs>
  <ScaleCrop>false</ScaleCrop>
  <Company>Teradyne Inc</Company>
  <LinksUpToDate>false</LinksUpToDate>
  <CharactersWithSpaces>14271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BCALABCOM42</cp:lastModifiedBy>
  <cp:revision>4</cp:revision>
  <dcterms:created xsi:type="dcterms:W3CDTF">2026-01-13T13:01:00Z</dcterms:created>
  <dcterms:modified xsi:type="dcterms:W3CDTF">2026-08-17T09:33:00Z</dcterms:modified>
</cp:coreProperties>
</file>